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683" w:rsidRDefault="004D5CC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F1683" w:rsidRDefault="004D5CC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1.013217</w:t>
      </w:r>
    </w:p>
    <w:p w:rsidR="00BF1683" w:rsidRDefault="004D5CC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BF1683" w:rsidRDefault="004D5CC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chứng chỉ hành nghề hoạt động xây dựng</w:t>
      </w:r>
    </w:p>
    <w:p w:rsidR="00BF1683" w:rsidRDefault="004D5CC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Cơ quan khác</w:t>
      </w:r>
    </w:p>
    <w:p w:rsidR="00BF1683" w:rsidRDefault="004D5CC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BF1683" w:rsidRDefault="004D5CC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BF1683" w:rsidRDefault="004D5CCE">
      <w:pPr>
        <w:spacing w:after="0" w:line="276" w:lineRule="auto"/>
        <w:jc w:val="both"/>
      </w:pPr>
      <w:r>
        <w:rPr>
          <w:rFonts w:ascii="Times New Roman" w:eastAsia="Times New Roman" w:hAnsi="Times New Roman" w:cs="Times New Roman"/>
          <w:b/>
          <w:sz w:val="26"/>
        </w:rPr>
        <w:t xml:space="preserve">Trình tự thực hiện: </w:t>
      </w:r>
    </w:p>
    <w:p w:rsidR="00BF1683" w:rsidRDefault="00BF1683">
      <w:pPr>
        <w:shd w:val="clear" w:color="auto" w:fill="F2F6F9"/>
        <w:spacing w:before="120" w:after="0" w:line="276" w:lineRule="auto"/>
        <w:jc w:val="both"/>
      </w:pPr>
    </w:p>
    <w:p w:rsidR="00BF1683" w:rsidRDefault="004D5CCE">
      <w:pPr>
        <w:spacing w:after="0" w:line="276" w:lineRule="auto"/>
        <w:jc w:val="both"/>
      </w:pPr>
      <w:r>
        <w:rPr>
          <w:rFonts w:ascii="Times New Roman" w:eastAsia="Times New Roman" w:hAnsi="Times New Roman" w:cs="Times New Roman"/>
          <w:sz w:val="26"/>
        </w:rPr>
        <w:t>- Cá nhân nộp trực tiếp, qua dịch vụ bưu chính hoặc trực tuyến 01 bộ hồ sơ đề nghị cấp lại chứng chỉ hành nghề hoạt động xây dựng cho Trung tâm phục vụ hành chính công cấp tỉnh hoặc Tổ chức xã hội nghề nghiệp đủ điều kiện. - Trong thờ</w:t>
      </w:r>
      <w:r>
        <w:rPr>
          <w:rFonts w:ascii="Times New Roman" w:eastAsia="Times New Roman" w:hAnsi="Times New Roman" w:cs="Times New Roman"/>
          <w:sz w:val="26"/>
        </w:rPr>
        <w:t>i hạn 05 ngày làm việc kể từ ngày tiếp nhận hồ sơ đề nghị, Sở Xây dựng hoặc Tổ chức xã hội nghề nghiệp đủ điều kiện có trách nhiệm kiểm tra hồ sơ, trường hợp hồ sơ không đầy đủ hoặc không hợp lệ, Sở Xây dựng hoặc Tổ chức xã hội nghề nghiệp phải thông báo m</w:t>
      </w:r>
      <w:r>
        <w:rPr>
          <w:rFonts w:ascii="Times New Roman" w:eastAsia="Times New Roman" w:hAnsi="Times New Roman" w:cs="Times New Roman"/>
          <w:sz w:val="26"/>
        </w:rPr>
        <w:t>ột lần bằng văn bản tới cá nhân đề nghị cấp chứng chỉ hành nghề. - Trong thời hạn 05 ngày làm việc kể từ ngày nhận đủ hồ sơ hợp lệ, Sở Xây dựng hoặc Tổ chức xã hội nghề nghiệp cấp lại chứng chỉ hành nghề cho cá nhân đủ điều kiện.  - Trong thời hạn không qu</w:t>
      </w:r>
      <w:r>
        <w:rPr>
          <w:rFonts w:ascii="Times New Roman" w:eastAsia="Times New Roman" w:hAnsi="Times New Roman" w:cs="Times New Roman"/>
          <w:sz w:val="26"/>
        </w:rPr>
        <w:t>á 05 ngày làm việc, kể từ ngày cấp chứng chỉ, Sở Xây dựng hoặc Tổ chức xã hội nghề nghiệp có trách nhiệm đăng tải thông tin về năng lực hoạt động xây dựng của cá nhân đã được cấp chứng chỉ hành nghề hoạt động xây dựng lên trang thông tin điện tử do mình qu</w:t>
      </w:r>
      <w:r>
        <w:rPr>
          <w:rFonts w:ascii="Times New Roman" w:eastAsia="Times New Roman" w:hAnsi="Times New Roman" w:cs="Times New Roman"/>
          <w:sz w:val="26"/>
        </w:rPr>
        <w:t>ản lý, đồng thời tích hợp thông tin trên trang thông tin điện tử http://www.nangluchdxd.gov.vn. - Cá nhân đề nghị cấp lại chứng chỉ hành nghề thì không yêu cầu sát hạch.</w:t>
      </w:r>
    </w:p>
    <w:p w:rsidR="00BF1683" w:rsidRDefault="004D5CCE">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61"/>
        <w:gridCol w:w="904"/>
        <w:gridCol w:w="6217"/>
        <w:gridCol w:w="1429"/>
      </w:tblGrid>
      <w:tr w:rsidR="00BF1683">
        <w:tblPrEx>
          <w:tblCellMar>
            <w:top w:w="0" w:type="dxa"/>
            <w:bottom w:w="0" w:type="dxa"/>
          </w:tblCellMar>
        </w:tblPrEx>
        <w:tc>
          <w:tcPr>
            <w:tcW w:w="15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Hình thức nộp</w:t>
            </w:r>
          </w:p>
        </w:tc>
        <w:tc>
          <w:tcPr>
            <w:tcW w:w="20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Thời hạn giải quyết</w:t>
            </w:r>
          </w:p>
        </w:tc>
        <w:tc>
          <w:tcPr>
            <w:tcW w:w="35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Phí, lệ phí</w:t>
            </w:r>
          </w:p>
        </w:tc>
        <w:tc>
          <w:tcPr>
            <w:tcW w:w="30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Mô tả</w:t>
            </w:r>
          </w:p>
        </w:tc>
      </w:tr>
      <w:tr w:rsidR="00BF1683">
        <w:tblPrEx>
          <w:tblCellMar>
            <w:top w:w="0" w:type="dxa"/>
            <w:bottom w:w="0" w:type="dxa"/>
          </w:tblCellMar>
        </w:tblPrEx>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tiếp</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5 Ngày làm việc</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 xml:space="preserve">Lệ phí :  Đồng (Từ ngày 01/7/2025 đến hết ngày 31/12/2026 áp dụng theo quy định tại Thông tư số 64/2025/TT-BTC ngày 30/6/2025 của Bộ trưởng Bộ Tài chính quy định mức thu, miễn một số khoản phí, lệ phí nhằm </w:t>
            </w:r>
            <w:r>
              <w:rPr>
                <w:rFonts w:ascii="Times New Roman" w:eastAsia="Times New Roman" w:hAnsi="Times New Roman" w:cs="Times New Roman"/>
                <w:sz w:val="26"/>
              </w:rPr>
              <w:t>hỗ trợ cho doanh nghiệp, người dân)</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05 ngày làm việc kể từ ngày nhận đủ hồ sơ hợp lệ</w:t>
            </w:r>
          </w:p>
        </w:tc>
      </w:tr>
      <w:tr w:rsidR="00BF1683">
        <w:tblPrEx>
          <w:tblCellMar>
            <w:top w:w="0" w:type="dxa"/>
            <w:bottom w:w="0" w:type="dxa"/>
          </w:tblCellMar>
        </w:tblPrEx>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lastRenderedPageBreak/>
              <w:t>Trực tuyến</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lastRenderedPageBreak/>
              <w:t>5 Ngày làm việc</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lastRenderedPageBreak/>
              <w:t>Lệ phí :  Đồng</w:t>
            </w:r>
            <w:r>
              <w:rPr>
                <w:rFonts w:ascii="Times New Roman" w:eastAsia="Times New Roman" w:hAnsi="Times New Roman" w:cs="Times New Roman"/>
                <w:sz w:val="26"/>
              </w:rPr>
              <w:t xml:space="preserve"> (Từ ngày 01/7/2025 đến hết ngày 31/12/2026 áp dụng theo quy định tại Thông tư số 64/2025/TT-BTC ngày 30/6/2025 của Bộ trưởng Bộ Tài chính quy định mức thu, miễn một số khoản phí, lệ phí nhằm hỗ trợ cho doanh nghiệp, người dâ</w:t>
            </w:r>
            <w:r>
              <w:rPr>
                <w:rFonts w:ascii="Times New Roman" w:eastAsia="Times New Roman" w:hAnsi="Times New Roman" w:cs="Times New Roman"/>
                <w:sz w:val="26"/>
              </w:rPr>
              <w:t>n)</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lastRenderedPageBreak/>
              <w:t>05 ngày làm việc kể từ ngày nhận đủ hồ sơ hợp lệ</w:t>
            </w:r>
          </w:p>
        </w:tc>
      </w:tr>
      <w:tr w:rsidR="00BF1683">
        <w:tblPrEx>
          <w:tblCellMar>
            <w:top w:w="0" w:type="dxa"/>
            <w:bottom w:w="0" w:type="dxa"/>
          </w:tblCellMar>
        </w:tblPrEx>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Dịch vụ bưu chính</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5 Ngày làm việc</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Lệ phí :  Đồng (Từ ngày 01/7/2025 đến hết ngày 31/12/2026 áp dụng theo quy định tại Thông tư số 64/2025/TT-BTC ngày 30/6/2025 của Bộ trưởng Bộ Tài ch</w:t>
            </w:r>
            <w:r>
              <w:rPr>
                <w:rFonts w:ascii="Times New Roman" w:eastAsia="Times New Roman" w:hAnsi="Times New Roman" w:cs="Times New Roman"/>
                <w:sz w:val="26"/>
              </w:rPr>
              <w:t>ính quy định mức thu, miễn một số khoản phí, lệ phí nhằm hỗ trợ cho doanh nghiệp, người dân)</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05 ngày làm việc kể từ ngày nhận đủ hồ sơ hợp lệ</w:t>
            </w:r>
          </w:p>
        </w:tc>
      </w:tr>
    </w:tbl>
    <w:p w:rsidR="00BF1683" w:rsidRDefault="004D5CCE">
      <w:pPr>
        <w:spacing w:before="240" w:after="0" w:line="276" w:lineRule="auto"/>
        <w:jc w:val="both"/>
      </w:pPr>
      <w:r>
        <w:rPr>
          <w:rFonts w:ascii="Times New Roman" w:eastAsia="Times New Roman" w:hAnsi="Times New Roman" w:cs="Times New Roman"/>
          <w:b/>
          <w:sz w:val="26"/>
        </w:rPr>
        <w:t xml:space="preserve">Thành phần hồ sơ: </w:t>
      </w:r>
    </w:p>
    <w:p w:rsidR="00BF1683" w:rsidRDefault="004D5CCE">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4950"/>
        <w:gridCol w:w="3609"/>
        <w:gridCol w:w="852"/>
      </w:tblGrid>
      <w:tr w:rsidR="00BF1683">
        <w:tblPrEx>
          <w:tblCellMar>
            <w:top w:w="0" w:type="dxa"/>
            <w:bottom w:w="0" w:type="dxa"/>
          </w:tblCellMar>
        </w:tblPrEx>
        <w:tc>
          <w:tcPr>
            <w:tcW w:w="60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Tên giấy tờ</w:t>
            </w:r>
          </w:p>
        </w:tc>
        <w:tc>
          <w:tcPr>
            <w:tcW w:w="20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Mẫu đơn, tờ khai</w:t>
            </w:r>
          </w:p>
        </w:tc>
        <w:tc>
          <w:tcPr>
            <w:tcW w:w="20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Số lượng</w:t>
            </w:r>
          </w:p>
        </w:tc>
      </w:tr>
      <w:tr w:rsidR="00BF1683">
        <w:tblPrEx>
          <w:tblCellMar>
            <w:top w:w="0" w:type="dxa"/>
            <w:bottom w:w="0" w:type="dxa"/>
          </w:tblCellMar>
        </w:tblPrEx>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 Đơn đề nghị cấp chứng chỉ</w:t>
            </w:r>
            <w:r>
              <w:rPr>
                <w:rFonts w:ascii="Times New Roman" w:eastAsia="Times New Roman" w:hAnsi="Times New Roman" w:cs="Times New Roman"/>
                <w:sz w:val="26"/>
              </w:rPr>
              <w:t xml:space="preserve"> hành nghề theo Mẫu số 1 Phụ lục số IV Nghị định số 175/2024/NĐ-CP là bản gốc trong trường hợp nộp trực tiếp hoặc thông qua dịch vụ bưu chính; tệp tin chụp từ bản gốc trong trường hợp nộp trực tuyến.</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nnghcpchngchhnhnghMus01.docx</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F1683">
        <w:tblPrEx>
          <w:tblCellMar>
            <w:top w:w="0" w:type="dxa"/>
            <w:bottom w:w="0" w:type="dxa"/>
          </w:tblCellMar>
        </w:tblPrEx>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 Tệp tin ảnh màu cỡ 4x6 cm có nền màu trắng chân dung của người đề nghị cấp chứng chỉ hành nghề được chụp trong thời gian không quá 06 tháng.</w:t>
            </w:r>
          </w:p>
        </w:tc>
        <w:tc>
          <w:tcPr>
            <w:tcW w:w="0" w:type="auto"/>
          </w:tcPr>
          <w:p w:rsidR="00BF1683" w:rsidRDefault="00BF1683"/>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F1683">
        <w:tblPrEx>
          <w:tblCellMar>
            <w:top w:w="0" w:type="dxa"/>
            <w:bottom w:w="0" w:type="dxa"/>
          </w:tblCellMar>
        </w:tblPrEx>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 Bản gốc chứng chỉ hành nghề đề nghị cấp lại. Trường hợp bị mất chứng chỉ hành nghề</w:t>
            </w:r>
            <w:r>
              <w:rPr>
                <w:rFonts w:ascii="Times New Roman" w:eastAsia="Times New Roman" w:hAnsi="Times New Roman" w:cs="Times New Roman"/>
                <w:sz w:val="26"/>
              </w:rPr>
              <w:t xml:space="preserve"> hoặc cấp lại chứng chỉ hành nghề đối với các lĩnh vực không bị thu hồi trên chứng chỉ hành nghề đã được cấp trước đó thì phải có cam kết của người đề nghị cấp lại;</w:t>
            </w:r>
          </w:p>
        </w:tc>
        <w:tc>
          <w:tcPr>
            <w:tcW w:w="0" w:type="auto"/>
          </w:tcPr>
          <w:p w:rsidR="00BF1683" w:rsidRDefault="00BF1683"/>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BF1683" w:rsidRDefault="004D5CCE">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w:t>
      </w:r>
      <w:r>
        <w:rPr>
          <w:rFonts w:ascii="Times New Roman" w:eastAsia="Times New Roman" w:hAnsi="Times New Roman" w:cs="Times New Roman"/>
          <w:sz w:val="26"/>
        </w:rPr>
        <w:t xml:space="preserve"> nước ngoài, Người nước ngoài</w:t>
      </w:r>
    </w:p>
    <w:p w:rsidR="00BF1683" w:rsidRDefault="004D5CCE">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Tổ chức xã hội - nghề nghiệp đã được công nhận</w:t>
      </w:r>
    </w:p>
    <w:p w:rsidR="00BF1683" w:rsidRDefault="004D5CC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F1683" w:rsidRDefault="004D5CC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BF1683" w:rsidRDefault="004D5CC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F1683" w:rsidRDefault="004D5CC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F1683" w:rsidRDefault="004D5CC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hành nghề hoạt động xây dựng</w:t>
      </w:r>
    </w:p>
    <w:p w:rsidR="00BF1683" w:rsidRDefault="004D5CCE">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BF1683">
        <w:tblPrEx>
          <w:tblCellMar>
            <w:top w:w="0" w:type="dxa"/>
            <w:bottom w:w="0" w:type="dxa"/>
          </w:tblCellMar>
        </w:tblPrEx>
        <w:tc>
          <w:tcPr>
            <w:tcW w:w="20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Số ký hiệu</w:t>
            </w:r>
          </w:p>
        </w:tc>
        <w:tc>
          <w:tcPr>
            <w:tcW w:w="35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Trích yếu</w:t>
            </w:r>
          </w:p>
        </w:tc>
        <w:tc>
          <w:tcPr>
            <w:tcW w:w="15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Ngày ban hành</w:t>
            </w:r>
          </w:p>
        </w:tc>
        <w:tc>
          <w:tcPr>
            <w:tcW w:w="3000" w:type="dxa"/>
          </w:tcPr>
          <w:p w:rsidR="00BF1683" w:rsidRDefault="00BF1683"/>
          <w:p w:rsidR="00BF1683" w:rsidRDefault="004D5CCE">
            <w:pPr>
              <w:spacing w:after="0" w:line="276" w:lineRule="auto"/>
              <w:jc w:val="center"/>
            </w:pPr>
            <w:r>
              <w:rPr>
                <w:rFonts w:ascii="Times New Roman" w:eastAsia="Times New Roman" w:hAnsi="Times New Roman" w:cs="Times New Roman"/>
                <w:b/>
                <w:sz w:val="26"/>
              </w:rPr>
              <w:t>Cơ quan ban hành</w:t>
            </w:r>
          </w:p>
        </w:tc>
      </w:tr>
      <w:tr w:rsidR="00BF1683">
        <w:tblPrEx>
          <w:tblCellMar>
            <w:top w:w="0" w:type="dxa"/>
            <w:bottom w:w="0" w:type="dxa"/>
          </w:tblCellMar>
        </w:tblPrEx>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62/2020/QH14</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Luật sửa đổi, bổ sung một số điều của Luật Xây dựng năm 2020</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17-06-2020</w:t>
            </w:r>
          </w:p>
        </w:tc>
        <w:tc>
          <w:tcPr>
            <w:tcW w:w="0" w:type="auto"/>
          </w:tcPr>
          <w:p w:rsidR="00BF1683" w:rsidRDefault="00BF1683"/>
        </w:tc>
      </w:tr>
      <w:tr w:rsidR="00BF1683">
        <w:tblPrEx>
          <w:tblCellMar>
            <w:top w:w="0" w:type="dxa"/>
            <w:bottom w:w="0" w:type="dxa"/>
          </w:tblCellMar>
        </w:tblPrEx>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175/2024/NĐ-CP</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 Xây dựng về quản lý hoạt động xây dựng</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30-12-2024</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Chính phủ</w:t>
            </w:r>
          </w:p>
        </w:tc>
      </w:tr>
      <w:tr w:rsidR="00BF1683">
        <w:tblPrEx>
          <w:tblCellMar>
            <w:top w:w="0" w:type="dxa"/>
            <w:bottom w:w="0" w:type="dxa"/>
          </w:tblCellMar>
        </w:tblPrEx>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144/2025/NĐ-CP</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quy định về phân quyền, phân cấp trong lĩnh vực quản lý nhà nước của Bộ Xây</w:t>
            </w:r>
            <w:r>
              <w:rPr>
                <w:rFonts w:ascii="Times New Roman" w:eastAsia="Times New Roman" w:hAnsi="Times New Roman" w:cs="Times New Roman"/>
                <w:sz w:val="26"/>
              </w:rPr>
              <w:t xml:space="preserve"> dựng</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12-06-2025</w:t>
            </w:r>
          </w:p>
        </w:tc>
        <w:tc>
          <w:tcPr>
            <w:tcW w:w="0" w:type="auto"/>
          </w:tcPr>
          <w:p w:rsidR="00BF1683" w:rsidRDefault="00BF1683"/>
          <w:p w:rsidR="00BF1683" w:rsidRDefault="004D5CCE">
            <w:pPr>
              <w:spacing w:after="0" w:line="276" w:lineRule="auto"/>
            </w:pPr>
            <w:r>
              <w:rPr>
                <w:rFonts w:ascii="Times New Roman" w:eastAsia="Times New Roman" w:hAnsi="Times New Roman" w:cs="Times New Roman"/>
                <w:sz w:val="26"/>
              </w:rPr>
              <w:t>Chính phủ</w:t>
            </w:r>
          </w:p>
        </w:tc>
      </w:tr>
    </w:tbl>
    <w:p w:rsidR="00BF1683" w:rsidRDefault="004D5CCE">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BF1683" w:rsidRDefault="004D5CC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F1683" w:rsidRDefault="004D5CC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F168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F1683"/>
    <w:rsid w:val="004D5CCE"/>
    <w:rsid w:val="00BF168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6368DC-2BDC-4A6F-AC55-C1F59B50C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3699</Characters>
  <Application>Microsoft Office Word</Application>
  <DocSecurity>0</DocSecurity>
  <Lines>30</Lines>
  <Paragraphs>8</Paragraphs>
  <ScaleCrop>false</ScaleCrop>
  <Company>Microsoft</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